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1360" w:lineRule="exact"/>
        <w:jc w:val="left"/>
        <w:rPr>
          <w:rFonts w:ascii="方正小标宋简体" w:hAnsi="宋体" w:eastAsia="方正小标宋简体" w:cs="宋体"/>
          <w:color w:val="FF0000"/>
          <w:spacing w:val="-31"/>
          <w:w w:val="65"/>
          <w:sz w:val="112"/>
          <w:szCs w:val="112"/>
        </w:rPr>
      </w:pPr>
      <w:r>
        <w:rPr>
          <w:rFonts w:ascii="方正小标宋简体" w:hAnsi="宋体" w:eastAsia="方正小标宋简体" w:cs="宋体"/>
          <w:color w:val="FF0000"/>
          <w:spacing w:val="-31"/>
          <w:w w:val="65"/>
          <w:sz w:val="112"/>
          <w:szCs w:val="112"/>
        </w:rPr>
        <w:t>共青团滨州医学院委员会文件</w:t>
      </w:r>
    </w:p>
    <w:p>
      <w:pPr>
        <w:pStyle w:val="2"/>
        <w:widowControl/>
        <w:spacing w:line="700" w:lineRule="exact"/>
        <w:ind w:firstLine="2940" w:firstLineChars="1050"/>
        <w:rPr>
          <w:rFonts w:ascii="仿宋_GB2312" w:hAnsi="宋体" w:eastAsia="仿宋_GB2312" w:cs="宋体"/>
          <w:sz w:val="28"/>
          <w:szCs w:val="28"/>
        </w:rPr>
      </w:pPr>
      <w:r>
        <w:rPr>
          <w:rFonts w:ascii="仿宋_GB2312" w:hAnsi="宋体" w:eastAsia="仿宋_GB2312" w:cs="宋体"/>
          <w:sz w:val="28"/>
          <w:szCs w:val="28"/>
        </w:rPr>
        <w:t>滨医青发〔20</w:t>
      </w:r>
      <w:r>
        <w:rPr>
          <w:rFonts w:hint="eastAsia" w:ascii="仿宋_GB2312" w:hAnsi="宋体" w:eastAsia="仿宋_GB2312" w:cs="宋体"/>
          <w:sz w:val="28"/>
          <w:szCs w:val="28"/>
          <w:lang w:val="en-US" w:eastAsia="zh-CN"/>
        </w:rPr>
        <w:t>21</w:t>
      </w:r>
      <w:r>
        <w:rPr>
          <w:rFonts w:ascii="仿宋_GB2312" w:hAnsi="宋体" w:eastAsia="仿宋_GB2312" w:cs="宋体"/>
          <w:sz w:val="28"/>
          <w:szCs w:val="28"/>
        </w:rPr>
        <w:t>〕</w:t>
      </w:r>
      <w:r>
        <w:rPr>
          <w:rFonts w:hint="eastAsia" w:ascii="仿宋_GB2312" w:hAnsi="宋体" w:eastAsia="仿宋_GB2312" w:cs="宋体"/>
          <w:sz w:val="28"/>
          <w:szCs w:val="28"/>
        </w:rPr>
        <w:t>1</w:t>
      </w:r>
      <w:r>
        <w:rPr>
          <w:rFonts w:ascii="仿宋_GB2312" w:hAnsi="宋体" w:eastAsia="仿宋_GB2312" w:cs="宋体"/>
          <w:sz w:val="28"/>
          <w:szCs w:val="28"/>
        </w:rPr>
        <w:t>号</w:t>
      </w:r>
    </w:p>
    <w:p>
      <w:pPr>
        <w:pStyle w:val="2"/>
        <w:widowControl/>
        <w:spacing w:line="560" w:lineRule="exact"/>
        <w:rPr>
          <w:rFonts w:ascii="方正小标宋简体" w:hAnsi="方正小标宋简体" w:eastAsia="方正小标宋简体" w:cs="方正小标宋简体"/>
          <w:sz w:val="44"/>
          <w:szCs w:val="44"/>
        </w:rPr>
      </w:pPr>
      <w:r>
        <mc:AlternateContent>
          <mc:Choice Requires="wps">
            <w:drawing>
              <wp:anchor distT="0" distB="0" distL="114300" distR="114300" simplePos="0" relativeHeight="251661312" behindDoc="0" locked="0" layoutInCell="1" allowOverlap="1">
                <wp:simplePos x="0" y="0"/>
                <wp:positionH relativeFrom="column">
                  <wp:posOffset>2625090</wp:posOffset>
                </wp:positionH>
                <wp:positionV relativeFrom="paragraph">
                  <wp:posOffset>15875</wp:posOffset>
                </wp:positionV>
                <wp:extent cx="342900" cy="333375"/>
                <wp:effectExtent l="9525" t="9525" r="15875" b="12700"/>
                <wp:wrapNone/>
                <wp:docPr id="1" name="椭圆 1"/>
                <wp:cNvGraphicFramePr/>
                <a:graphic xmlns:a="http://schemas.openxmlformats.org/drawingml/2006/main">
                  <a:graphicData uri="http://schemas.microsoft.com/office/word/2010/wordprocessingShape">
                    <wps:wsp>
                      <wps:cNvSpPr/>
                      <wps:spPr>
                        <a:xfrm>
                          <a:off x="0" y="0"/>
                          <a:ext cx="342900" cy="333375"/>
                        </a:xfrm>
                        <a:prstGeom prst="ellipse">
                          <a:avLst/>
                        </a:prstGeom>
                        <a:noFill/>
                        <a:ln w="19050"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206.7pt;margin-top:1.25pt;height:26.25pt;width:27pt;z-index:251661312;mso-width-relative:page;mso-height-relative:page;" filled="f" stroked="t" coordsize="21600,21600" o:gfxdata="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RKa09gAAAAIAQAADwAAAAAAAAABACAAAAAiAAAAZHJzL2Rvd25yZXYueG1sUEsBAhQA&#10;FAAAAAgAh07iQEiht6vyAQAA7gMAAA4AAAAAAAAAAQAgAAAAJwEAAGRycy9lMm9Eb2MueG1sUEsF&#10;BgAAAAAGAAYAWQEAAIsFAAAAAA==&#10;">
                <v:fill on="f" focussize="0,0"/>
                <v:stroke weight="1.5pt" color="#FF0000" joinstyle="round"/>
                <v:imagedata o:title=""/>
                <o:lock v:ext="edit" aspectratio="f"/>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177800</wp:posOffset>
                </wp:positionV>
                <wp:extent cx="252031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52031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14pt;height:0.05pt;width:198.45pt;z-index:251658240;mso-width-relative:page;mso-height-relative:page;" filled="f" stroked="t" coordsize="21600,21600" o:gfxdata="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ioMF9UAAAAHAQAADwAAAAAAAAABACAAAAAiAAAAZHJzL2Rvd25yZXYueG1sUEsB&#10;AhQAFAAAAAgAh07iQCyAhtL4AQAA5wMAAA4AAAAAAAAAAQAgAAAAJAEAAGRycy9lMm9Eb2MueG1s&#10;UEsFBgAAAAAGAAYAWQEAAI4FAAAAAA==&#10;">
                <v:fill on="f" focussize="0,0"/>
                <v:stroke weight="2.25pt" color="#FF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3067050</wp:posOffset>
                </wp:positionH>
                <wp:positionV relativeFrom="paragraph">
                  <wp:posOffset>177800</wp:posOffset>
                </wp:positionV>
                <wp:extent cx="25336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253365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1.5pt;margin-top:14pt;height:0.05pt;width:199.5pt;z-index:251659264;mso-width-relative:page;mso-height-relative:page;" filled="f" stroked="t" coordsize="21600,21600" o:gfxdata="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XBdRtUAAAAJAQAADwAAAAAAAAABACAAAAAiAAAAZHJzL2Rvd25yZXYueG1sUEsB&#10;AhQAFAAAAAgAh07iQIRFrYL4AQAA5wMAAA4AAAAAAAAAAQAgAAAAJAEAAGRycy9lMm9Eb2MueG1s&#10;UEsFBgAAAAAGAAYAWQEAAI4FAAAAAA==&#10;">
                <v:fill on="f" focussize="0,0"/>
                <v:stroke weight="2.25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2667000</wp:posOffset>
                </wp:positionH>
                <wp:positionV relativeFrom="paragraph">
                  <wp:posOffset>40640</wp:posOffset>
                </wp:positionV>
                <wp:extent cx="266700" cy="253365"/>
                <wp:effectExtent l="4445" t="4445" r="8255" b="8890"/>
                <wp:wrapNone/>
                <wp:docPr id="4" name="任意多边形 4"/>
                <wp:cNvGraphicFramePr/>
                <a:graphic xmlns:a="http://schemas.openxmlformats.org/drawingml/2006/main">
                  <a:graphicData uri="http://schemas.microsoft.com/office/word/2010/wordprocessingShape">
                    <wps:wsp>
                      <wps:cNvSpPr/>
                      <wps:spPr>
                        <a:xfrm>
                          <a:off x="0" y="0"/>
                          <a:ext cx="266700" cy="253365"/>
                        </a:xfrm>
                        <a:custGeom>
                          <a:avLst/>
                          <a:gdLst/>
                          <a:ahLst/>
                          <a:cxnLst/>
                          <a:pathLst>
                            <a:path w="266700" h="253365">
                              <a:moveTo>
                                <a:pt x="0" y="96776"/>
                              </a:moveTo>
                              <a:lnTo>
                                <a:pt x="101870" y="96777"/>
                              </a:lnTo>
                              <a:lnTo>
                                <a:pt x="133350" y="0"/>
                              </a:lnTo>
                              <a:lnTo>
                                <a:pt x="164829" y="96777"/>
                              </a:lnTo>
                              <a:lnTo>
                                <a:pt x="266699" y="96776"/>
                              </a:lnTo>
                              <a:lnTo>
                                <a:pt x="184284" y="156587"/>
                              </a:lnTo>
                              <a:lnTo>
                                <a:pt x="215764" y="253364"/>
                              </a:lnTo>
                              <a:lnTo>
                                <a:pt x="133350" y="193552"/>
                              </a:lnTo>
                              <a:lnTo>
                                <a:pt x="50935" y="253364"/>
                              </a:lnTo>
                              <a:lnTo>
                                <a:pt x="82415" y="156587"/>
                              </a:lnTo>
                              <a:close/>
                            </a:path>
                          </a:pathLst>
                        </a:custGeom>
                        <a:solidFill>
                          <a:srgbClr val="FF0000"/>
                        </a:solidFill>
                        <a:ln w="9525"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10pt;margin-top:3.2pt;height:19.95pt;width:21pt;z-index:251660288;mso-width-relative:page;mso-height-relative:page;" fillcolor="#FF0000" filled="t" stroked="t" coordsize="266700,253365" o:gfxdata="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L5ycyjVAAAACAEAAA8AAAAAAAAAAQAgAAAAIgAAAGRycy9kb3ducmV2LnhtbFBLAQIUABQA&#10;AAAIAIdO4kAsi7QyngIAADcGAAAOAAAAAAAAAAEAIAAAACQBAABkcnMvZTJvRG9jLnhtbFBLBQYA&#10;AAAABgAGAFkBAAA0BgAAAAA=&#10;" path="m0,96776l101870,96777,133350,0,164829,96777,266699,96776,184284,156587,215764,253364,133350,193552,50935,253364,82415,156587xe">
                <v:fill on="t" focussize="0,0"/>
                <v:stroke color="#FF0000" joinstyle="round"/>
                <v:imagedata o:title=""/>
                <o:lock v:ext="edit" aspectratio="f"/>
              </v:shape>
            </w:pict>
          </mc:Fallback>
        </mc:AlternateContent>
      </w:r>
    </w:p>
    <w:p>
      <w:pPr>
        <w:widowControl/>
        <w:spacing w:line="560" w:lineRule="exact"/>
        <w:jc w:val="center"/>
        <w:textAlignment w:val="top"/>
        <w:rPr>
          <w:rFonts w:ascii="方正小标宋简体" w:eastAsia="方正小标宋简体"/>
          <w:bCs/>
          <w:color w:val="000000"/>
          <w:sz w:val="44"/>
          <w:szCs w:val="44"/>
        </w:rPr>
      </w:pPr>
      <w:r>
        <w:rPr>
          <w:rFonts w:hint="eastAsia" w:ascii="方正小标宋简体" w:eastAsia="方正小标宋简体"/>
          <w:bCs/>
          <w:color w:val="000000"/>
          <w:sz w:val="44"/>
          <w:szCs w:val="44"/>
        </w:rPr>
        <w:t>关于印发《共青团滨州医学院委员会</w:t>
      </w:r>
      <w:r>
        <w:rPr>
          <w:rFonts w:hint="eastAsia" w:ascii="方正小标宋简体" w:eastAsia="方正小标宋简体"/>
          <w:bCs/>
          <w:color w:val="000000"/>
          <w:sz w:val="44"/>
          <w:szCs w:val="44"/>
          <w:lang w:val="en-US" w:eastAsia="zh-CN"/>
        </w:rPr>
        <w:t>2021</w:t>
      </w:r>
      <w:r>
        <w:rPr>
          <w:rFonts w:hint="eastAsia" w:ascii="方正小标宋简体" w:eastAsia="方正小标宋简体"/>
          <w:bCs/>
          <w:color w:val="000000"/>
          <w:sz w:val="44"/>
          <w:szCs w:val="44"/>
        </w:rPr>
        <w:t>年度工作</w:t>
      </w:r>
      <w:r>
        <w:rPr>
          <w:rFonts w:hint="eastAsia" w:ascii="方正小标宋简体" w:eastAsia="方正小标宋简体"/>
          <w:bCs/>
          <w:color w:val="000000"/>
          <w:sz w:val="44"/>
          <w:szCs w:val="44"/>
          <w:lang w:eastAsia="zh-CN"/>
        </w:rPr>
        <w:t>要点</w:t>
      </w:r>
      <w:r>
        <w:rPr>
          <w:rFonts w:hint="eastAsia" w:ascii="方正小标宋简体" w:eastAsia="方正小标宋简体"/>
          <w:bCs/>
          <w:color w:val="000000"/>
          <w:sz w:val="44"/>
          <w:szCs w:val="44"/>
        </w:rPr>
        <w:t>》的通知</w:t>
      </w:r>
    </w:p>
    <w:p>
      <w:pPr>
        <w:spacing w:line="560" w:lineRule="exact"/>
        <w:ind w:firstLine="640" w:firstLineChars="200"/>
        <w:rPr>
          <w:rFonts w:ascii="仿宋_GB2312" w:eastAsia="仿宋_GB2312"/>
          <w:color w:val="000000"/>
          <w:sz w:val="32"/>
          <w:szCs w:val="32"/>
        </w:rPr>
      </w:pPr>
    </w:p>
    <w:p>
      <w:pPr>
        <w:pStyle w:val="7"/>
        <w:spacing w:before="0" w:beforeAutospacing="0" w:after="0" w:afterAutospacing="0" w:line="560" w:lineRule="exact"/>
        <w:rPr>
          <w:rFonts w:ascii="仿宋_GB2312" w:eastAsia="仿宋_GB2312"/>
          <w:color w:val="000000"/>
          <w:sz w:val="32"/>
          <w:szCs w:val="32"/>
        </w:rPr>
      </w:pPr>
      <w:r>
        <w:rPr>
          <w:rFonts w:hint="eastAsia" w:ascii="仿宋_GB2312" w:eastAsia="仿宋_GB2312"/>
          <w:color w:val="000000"/>
          <w:sz w:val="32"/>
          <w:szCs w:val="32"/>
        </w:rPr>
        <w:t>各团总支（团委）：</w:t>
      </w:r>
    </w:p>
    <w:p>
      <w:pPr>
        <w:pStyle w:val="7"/>
        <w:spacing w:before="0" w:beforeAutospacing="0" w:after="0"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现将《共青团滨州医学院委员会</w:t>
      </w:r>
      <w:r>
        <w:rPr>
          <w:rFonts w:hint="default" w:ascii="Times New Roman" w:hAnsi="Times New Roman" w:eastAsia="仿宋_GB2312" w:cs="Times New Roman"/>
          <w:color w:val="000000"/>
          <w:sz w:val="32"/>
          <w:szCs w:val="32"/>
          <w:lang w:val="en-US" w:eastAsia="zh-CN"/>
        </w:rPr>
        <w:t>2021</w:t>
      </w:r>
      <w:r>
        <w:rPr>
          <w:rFonts w:hint="eastAsia" w:ascii="仿宋_GB2312" w:eastAsia="仿宋_GB2312"/>
          <w:color w:val="000000"/>
          <w:sz w:val="32"/>
          <w:szCs w:val="32"/>
        </w:rPr>
        <w:t>年度工作</w:t>
      </w:r>
      <w:r>
        <w:rPr>
          <w:rFonts w:hint="eastAsia" w:ascii="仿宋_GB2312" w:eastAsia="仿宋_GB2312"/>
          <w:color w:val="000000"/>
          <w:sz w:val="32"/>
          <w:szCs w:val="32"/>
          <w:lang w:eastAsia="zh-CN"/>
        </w:rPr>
        <w:t>要点</w:t>
      </w:r>
      <w:r>
        <w:rPr>
          <w:rFonts w:hint="eastAsia" w:ascii="仿宋_GB2312" w:eastAsia="仿宋_GB2312"/>
          <w:color w:val="000000"/>
          <w:sz w:val="32"/>
          <w:szCs w:val="32"/>
        </w:rPr>
        <w:t>》予以印发，请认真学习领会，紧密结合实际，明确工作重点，认真落实好各项工作。</w:t>
      </w:r>
    </w:p>
    <w:p>
      <w:pPr>
        <w:pStyle w:val="7"/>
        <w:spacing w:before="0" w:beforeAutospacing="0" w:after="0" w:afterAutospacing="0" w:line="560" w:lineRule="exact"/>
        <w:ind w:firstLine="960"/>
        <w:rPr>
          <w:rFonts w:ascii="仿宋_GB2312" w:eastAsia="仿宋_GB2312"/>
          <w:color w:val="000000"/>
          <w:sz w:val="32"/>
          <w:szCs w:val="32"/>
        </w:rPr>
      </w:pPr>
    </w:p>
    <w:p>
      <w:pPr>
        <w:pStyle w:val="7"/>
        <w:spacing w:before="0" w:beforeAutospacing="0" w:after="0" w:afterAutospacing="0" w:line="560" w:lineRule="exact"/>
        <w:ind w:firstLine="960"/>
        <w:rPr>
          <w:rFonts w:ascii="仿宋_GB2312" w:eastAsia="仿宋_GB2312"/>
          <w:color w:val="000000"/>
          <w:sz w:val="32"/>
          <w:szCs w:val="32"/>
        </w:rPr>
      </w:pPr>
    </w:p>
    <w:p>
      <w:pPr>
        <w:pStyle w:val="7"/>
        <w:spacing w:before="0" w:beforeAutospacing="0" w:after="0" w:afterAutospacing="0" w:line="560" w:lineRule="exact"/>
        <w:jc w:val="center"/>
        <w:rPr>
          <w:rFonts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共青团滨州医学院委员会</w:t>
      </w:r>
    </w:p>
    <w:p>
      <w:pPr>
        <w:pStyle w:val="7"/>
        <w:spacing w:before="0" w:beforeAutospacing="0" w:after="0" w:afterAutospacing="0" w:line="560" w:lineRule="exact"/>
        <w:jc w:val="center"/>
        <w:rPr>
          <w:rFonts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年3月1</w:t>
      </w:r>
      <w:r>
        <w:rPr>
          <w:rFonts w:hint="default" w:ascii="Times New Roman" w:hAnsi="Times New Roman" w:eastAsia="仿宋_GB2312" w:cs="Times New Roman"/>
          <w:color w:val="000000"/>
          <w:sz w:val="32"/>
          <w:szCs w:val="32"/>
          <w:lang w:val="en-US" w:eastAsia="zh-CN"/>
        </w:rPr>
        <w:t>2</w:t>
      </w:r>
      <w:r>
        <w:rPr>
          <w:rFonts w:hint="eastAsia" w:ascii="仿宋_GB2312" w:eastAsia="仿宋_GB2312"/>
          <w:color w:val="000000"/>
          <w:sz w:val="32"/>
          <w:szCs w:val="32"/>
        </w:rPr>
        <w:t>日</w:t>
      </w:r>
    </w:p>
    <w:p>
      <w:pPr>
        <w:spacing w:line="560" w:lineRule="exact"/>
        <w:ind w:firstLine="640" w:firstLineChars="200"/>
        <w:rPr>
          <w:rFonts w:ascii="仿宋_GB2312" w:eastAsia="仿宋_GB2312"/>
          <w:color w:val="000000"/>
          <w:sz w:val="32"/>
          <w:szCs w:val="32"/>
        </w:rPr>
      </w:pPr>
    </w:p>
    <w:p>
      <w:pPr>
        <w:rPr>
          <w:rFonts w:ascii="仿宋_GB2312" w:eastAsia="仿宋_GB2312"/>
          <w:color w:val="000000"/>
          <w:sz w:val="32"/>
          <w:szCs w:val="32"/>
        </w:rPr>
      </w:pPr>
      <w:r>
        <w:rPr>
          <w:rFonts w:ascii="仿宋_GB2312" w:eastAsia="仿宋_GB2312"/>
          <w:color w:val="000000"/>
          <w:sz w:val="32"/>
          <w:szCs w:val="32"/>
        </w:rPr>
        <w:br w:type="page"/>
      </w:r>
    </w:p>
    <w:p>
      <w:pPr>
        <w:pStyle w:val="7"/>
        <w:wordWrap w:val="0"/>
        <w:spacing w:before="0" w:beforeAutospacing="0" w:after="0" w:afterAutospacing="0" w:line="560" w:lineRule="exact"/>
        <w:jc w:val="center"/>
        <w:rPr>
          <w:rFonts w:hint="eastAsia" w:ascii="方正小标宋简体" w:eastAsia="方正小标宋简体"/>
          <w:bCs/>
          <w:color w:val="000000"/>
          <w:sz w:val="44"/>
          <w:szCs w:val="44"/>
          <w:lang w:eastAsia="zh-CN"/>
        </w:rPr>
      </w:pPr>
      <w:r>
        <w:rPr>
          <w:rFonts w:hint="eastAsia" w:ascii="方正小标宋简体" w:eastAsia="方正小标宋简体"/>
          <w:bCs/>
          <w:color w:val="000000"/>
          <w:sz w:val="44"/>
          <w:szCs w:val="44"/>
        </w:rPr>
        <w:t>共青团滨州医学院委员会</w:t>
      </w:r>
      <w:r>
        <w:rPr>
          <w:rFonts w:hint="eastAsia" w:ascii="方正小标宋简体" w:eastAsia="方正小标宋简体"/>
          <w:bCs/>
          <w:color w:val="000000"/>
          <w:sz w:val="44"/>
          <w:szCs w:val="44"/>
          <w:lang w:val="en-US" w:eastAsia="zh-CN"/>
        </w:rPr>
        <w:t>2021</w:t>
      </w:r>
      <w:r>
        <w:rPr>
          <w:rFonts w:hint="eastAsia" w:ascii="方正小标宋简体" w:eastAsia="方正小标宋简体"/>
          <w:bCs/>
          <w:color w:val="000000"/>
          <w:sz w:val="44"/>
          <w:szCs w:val="44"/>
        </w:rPr>
        <w:t>年度工作</w:t>
      </w:r>
      <w:r>
        <w:rPr>
          <w:rFonts w:hint="eastAsia" w:ascii="方正小标宋简体" w:eastAsia="方正小标宋简体"/>
          <w:bCs/>
          <w:color w:val="000000"/>
          <w:sz w:val="44"/>
          <w:szCs w:val="44"/>
          <w:lang w:eastAsia="zh-CN"/>
        </w:rPr>
        <w:t>要点</w:t>
      </w:r>
    </w:p>
    <w:p>
      <w:pPr>
        <w:spacing w:line="560" w:lineRule="exact"/>
        <w:ind w:firstLine="640" w:firstLineChars="200"/>
        <w:rPr>
          <w:rFonts w:ascii="仿宋_GB2312" w:eastAsia="仿宋_GB2312"/>
          <w:color w:val="000000"/>
          <w:sz w:val="32"/>
          <w:szCs w:val="32"/>
        </w:rPr>
      </w:pPr>
      <w:bookmarkStart w:id="0" w:name="_GoBack"/>
      <w:bookmarkEnd w:id="0"/>
    </w:p>
    <w:p>
      <w:pPr>
        <w:spacing w:line="560" w:lineRule="exact"/>
        <w:ind w:firstLine="640" w:firstLineChars="200"/>
        <w:rPr>
          <w:rFonts w:hint="eastAsia" w:eastAsia="仿宋_GB2312"/>
          <w:sz w:val="32"/>
          <w:szCs w:val="32"/>
        </w:rPr>
      </w:pPr>
      <w:r>
        <w:rPr>
          <w:rFonts w:ascii="黑体" w:hAnsi="黑体" w:eastAsia="黑体"/>
          <w:sz w:val="32"/>
          <w:szCs w:val="32"/>
        </w:rPr>
        <w:t>20</w:t>
      </w:r>
      <w:r>
        <w:rPr>
          <w:rFonts w:hint="eastAsia" w:ascii="黑体" w:hAnsi="黑体" w:eastAsia="黑体"/>
          <w:sz w:val="32"/>
          <w:szCs w:val="32"/>
        </w:rPr>
        <w:t>21</w:t>
      </w:r>
      <w:r>
        <w:rPr>
          <w:rFonts w:ascii="黑体" w:hAnsi="黑体" w:eastAsia="黑体"/>
          <w:sz w:val="32"/>
          <w:szCs w:val="32"/>
        </w:rPr>
        <w:t>年,学校共青团工作的总体思路是：</w:t>
      </w:r>
      <w:r>
        <w:rPr>
          <w:rFonts w:ascii="仿宋_GB2312" w:hAnsi="仿宋_GB2312" w:eastAsia="仿宋_GB2312" w:cs="仿宋_GB2312"/>
          <w:sz w:val="32"/>
          <w:szCs w:val="32"/>
        </w:rPr>
        <w:t>高举习近平新时代中国特色社会主义思想伟大旗帜，</w:t>
      </w:r>
      <w:r>
        <w:rPr>
          <w:rFonts w:hint="eastAsia" w:ascii="仿宋_GB2312" w:hAnsi="仿宋_GB2312" w:eastAsia="仿宋_GB2312" w:cs="仿宋_GB2312"/>
          <w:color w:val="000000"/>
          <w:kern w:val="0"/>
          <w:sz w:val="32"/>
          <w:szCs w:val="32"/>
        </w:rPr>
        <w:t>认真落实全团工作部署和全国、全省教育工作会议精神，紧扣学校“</w:t>
      </w:r>
      <w:r>
        <w:rPr>
          <w:rFonts w:hint="default" w:ascii="Times New Roman" w:hAnsi="Times New Roman" w:eastAsia="仿宋_GB2312" w:cs="Times New Roman"/>
          <w:color w:val="000000"/>
          <w:kern w:val="0"/>
          <w:sz w:val="32"/>
          <w:szCs w:val="32"/>
        </w:rPr>
        <w:t>1345</w:t>
      </w:r>
      <w:r>
        <w:rPr>
          <w:rFonts w:hint="eastAsia" w:ascii="仿宋_GB2312" w:hAnsi="仿宋_GB2312" w:eastAsia="仿宋_GB2312" w:cs="仿宋_GB2312"/>
          <w:color w:val="000000"/>
          <w:kern w:val="0"/>
          <w:sz w:val="32"/>
          <w:szCs w:val="32"/>
        </w:rPr>
        <w:t>”办学方略和目标任务，按照“五推动四提升”的工作思路，推动“青春导航”“青春筑梦”“青春关爱”“青春同行”“青春攀登”五项青春工程，提升“团组织的吸引力、团支部的凝聚力、团干部的荣誉感、团员青年的归属感”，推动“十四五”开好局、起好步，为</w:t>
      </w:r>
      <w:r>
        <w:rPr>
          <w:rFonts w:hint="eastAsia" w:ascii="仿宋_GB2312" w:hAnsi="Courier New" w:eastAsia="仿宋_GB2312" w:cs="Courier New"/>
          <w:sz w:val="32"/>
          <w:szCs w:val="32"/>
        </w:rPr>
        <w:t>学校建设优势突出特色鲜明的高水平医科大学贡献青春、智慧和力量，</w:t>
      </w:r>
      <w:r>
        <w:rPr>
          <w:rFonts w:hint="eastAsia" w:ascii="仿宋_GB2312" w:hAnsi="仿宋_GB2312" w:eastAsia="仿宋_GB2312" w:cs="仿宋_GB2312"/>
          <w:color w:val="000000"/>
          <w:kern w:val="0"/>
          <w:sz w:val="32"/>
          <w:szCs w:val="32"/>
        </w:rPr>
        <w:t>以优异成绩献礼建党</w:t>
      </w:r>
      <w:r>
        <w:rPr>
          <w:rFonts w:hint="eastAsia" w:ascii="Times New Roman" w:hAnsi="Times New Roman" w:eastAsia="仿宋_GB2312" w:cs="Times New Roman"/>
          <w:color w:val="000000"/>
          <w:kern w:val="0"/>
          <w:sz w:val="32"/>
          <w:szCs w:val="32"/>
        </w:rPr>
        <w:t>100</w:t>
      </w:r>
      <w:r>
        <w:rPr>
          <w:rFonts w:hint="eastAsia" w:ascii="仿宋_GB2312" w:hAnsi="仿宋_GB2312" w:eastAsia="仿宋_GB2312" w:cs="仿宋_GB2312"/>
          <w:color w:val="000000"/>
          <w:kern w:val="0"/>
          <w:sz w:val="32"/>
          <w:szCs w:val="32"/>
        </w:rPr>
        <w:t>周年。</w:t>
      </w:r>
    </w:p>
    <w:p>
      <w:pPr>
        <w:widowControl/>
        <w:spacing w:line="560" w:lineRule="exact"/>
        <w:ind w:firstLine="640" w:firstLineChars="200"/>
        <w:rPr>
          <w:rFonts w:eastAsia="黑体"/>
          <w:kern w:val="32"/>
          <w:sz w:val="32"/>
          <w:szCs w:val="32"/>
        </w:rPr>
      </w:pPr>
      <w:r>
        <w:rPr>
          <w:rFonts w:eastAsia="黑体"/>
          <w:kern w:val="32"/>
          <w:sz w:val="32"/>
          <w:szCs w:val="32"/>
        </w:rPr>
        <w:t>一、</w:t>
      </w:r>
      <w:r>
        <w:rPr>
          <w:rFonts w:hint="eastAsia" w:eastAsia="黑体"/>
          <w:kern w:val="32"/>
          <w:sz w:val="32"/>
          <w:szCs w:val="32"/>
        </w:rPr>
        <w:t>以“青春导航”工程武装头脑，践行新思想</w:t>
      </w:r>
    </w:p>
    <w:p>
      <w:pPr>
        <w:spacing w:line="560" w:lineRule="exact"/>
        <w:ind w:firstLine="640" w:firstLineChars="200"/>
        <w:rPr>
          <w:rFonts w:hint="eastAsia" w:eastAsia="楷体_GB2312"/>
          <w:sz w:val="32"/>
          <w:szCs w:val="32"/>
        </w:rPr>
      </w:pPr>
      <w:r>
        <w:rPr>
          <w:rFonts w:hint="eastAsia" w:eastAsia="楷体_GB2312"/>
          <w:sz w:val="32"/>
          <w:szCs w:val="32"/>
        </w:rPr>
        <w:t>（一）筑牢理想信念根基</w:t>
      </w:r>
    </w:p>
    <w:p>
      <w:pPr>
        <w:spacing w:line="560" w:lineRule="exact"/>
        <w:ind w:firstLine="640" w:firstLineChars="200"/>
        <w:rPr>
          <w:rFonts w:eastAsia="楷体_GB2312"/>
          <w:sz w:val="32"/>
          <w:szCs w:val="32"/>
        </w:rPr>
      </w:pPr>
      <w:r>
        <w:rPr>
          <w:rFonts w:hint="eastAsia" w:ascii="仿宋_GB2312" w:hAnsi="仿宋_GB2312" w:eastAsia="仿宋_GB2312" w:cs="仿宋_GB2312"/>
          <w:kern w:val="0"/>
          <w:sz w:val="32"/>
          <w:szCs w:val="32"/>
        </w:rPr>
        <w:t>始终把学习宣传贯彻习近平新时代中国特色社会主义思想作为首要政治任务和核心工作业务，扎实开展“青年大学习”网上主题团课，深入实施“百年行动”，推动党的理论主张在滨医青年中入脑入心。邀请党政领导、青年骨干教师、优秀团干部和团员青年等录制主题微团课，切实提高思政工作的针对性和实效性</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举办学校</w:t>
      </w:r>
      <w:r>
        <w:rPr>
          <w:rFonts w:hint="eastAsia" w:ascii="仿宋_GB2312" w:hAnsi="仿宋_GB2312" w:eastAsia="仿宋_GB2312" w:cs="仿宋_GB2312"/>
          <w:sz w:val="32"/>
          <w:szCs w:val="32"/>
        </w:rPr>
        <w:t>第</w:t>
      </w:r>
      <w:r>
        <w:rPr>
          <w:rFonts w:hint="eastAsia" w:ascii="Times New Roman" w:hAnsi="Times New Roman" w:eastAsia="仿宋_GB2312" w:cs="Times New Roman"/>
          <w:color w:val="000000"/>
          <w:kern w:val="0"/>
          <w:sz w:val="32"/>
          <w:szCs w:val="32"/>
        </w:rPr>
        <w:t>11</w:t>
      </w:r>
      <w:r>
        <w:rPr>
          <w:rFonts w:hint="eastAsia" w:ascii="仿宋_GB2312" w:hAnsi="仿宋_GB2312" w:eastAsia="仿宋_GB2312" w:cs="仿宋_GB2312"/>
          <w:sz w:val="32"/>
          <w:szCs w:val="32"/>
        </w:rPr>
        <w:t>期“青马工程”骨干培训班，引导“小青马”真学、真懂、真信马克思主义，着力培养具有理论和实践自觉的青年领军人才。</w:t>
      </w:r>
    </w:p>
    <w:p>
      <w:pPr>
        <w:widowControl/>
        <w:spacing w:line="560" w:lineRule="exact"/>
        <w:ind w:firstLine="640" w:firstLineChars="200"/>
        <w:rPr>
          <w:rFonts w:hint="eastAsia" w:eastAsia="楷体_GB2312"/>
          <w:sz w:val="32"/>
          <w:szCs w:val="32"/>
        </w:rPr>
      </w:pPr>
      <w:r>
        <w:rPr>
          <w:rFonts w:hint="eastAsia" w:eastAsia="楷体_GB2312"/>
          <w:sz w:val="32"/>
          <w:szCs w:val="32"/>
        </w:rPr>
        <w:t>（二）弘扬时代文明风尚</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重将社会主义核心价值观转化为青年的情感认同和行为习惯，帮助他们“扣好人生的第一粒扣子”。加强青年榜样教育，继续开展“五四”系列表彰、“自强之星”寻访、“身边的榜样”主题团日等活动，大力宣传典型事迹，创新分享交流形式，讲好奋斗出彩故事。</w:t>
      </w:r>
    </w:p>
    <w:p>
      <w:pPr>
        <w:widowControl/>
        <w:spacing w:line="560" w:lineRule="exact"/>
        <w:ind w:firstLine="640" w:firstLineChars="200"/>
        <w:rPr>
          <w:rFonts w:hint="eastAsia" w:eastAsia="楷体_GB2312"/>
          <w:sz w:val="32"/>
          <w:szCs w:val="32"/>
        </w:rPr>
      </w:pPr>
      <w:r>
        <w:rPr>
          <w:rFonts w:hint="eastAsia" w:eastAsia="楷体_GB2312"/>
          <w:sz w:val="32"/>
          <w:szCs w:val="32"/>
        </w:rPr>
        <w:t>（三）营造清朗网络空间</w:t>
      </w:r>
    </w:p>
    <w:p>
      <w:pPr>
        <w:widowControl/>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运行好“E梦园”团属新媒体平台，采取集中“喷灌”与持续“滴灌”相结合的方式，策划开展有影响力的线上活动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组建网络宣传员和文明志愿者队伍，动员青年学生旗帜鲜明地发出网上正面声音，营造清朗网络空间。</w:t>
      </w:r>
      <w:r>
        <w:rPr>
          <w:rFonts w:hint="eastAsia" w:ascii="仿宋_GB2312" w:hAnsi="仿宋_GB2312" w:eastAsia="仿宋_GB2312" w:cs="仿宋_GB2312"/>
          <w:color w:val="000000"/>
          <w:sz w:val="32"/>
          <w:szCs w:val="32"/>
        </w:rPr>
        <w:t>发动团学骨干创作、推广优秀网络文化作品。</w:t>
      </w:r>
    </w:p>
    <w:p>
      <w:pPr>
        <w:widowControl/>
        <w:spacing w:line="560" w:lineRule="exact"/>
        <w:ind w:firstLine="640" w:firstLineChars="200"/>
        <w:rPr>
          <w:rFonts w:eastAsia="黑体"/>
          <w:kern w:val="32"/>
          <w:sz w:val="32"/>
          <w:szCs w:val="32"/>
        </w:rPr>
      </w:pPr>
      <w:r>
        <w:rPr>
          <w:rFonts w:hint="eastAsia" w:eastAsia="黑体"/>
          <w:kern w:val="32"/>
          <w:sz w:val="32"/>
          <w:szCs w:val="32"/>
        </w:rPr>
        <w:t>二、以“青春筑梦”工程增长才干，实现新作为</w:t>
      </w:r>
    </w:p>
    <w:p>
      <w:pPr>
        <w:tabs>
          <w:tab w:val="left" w:pos="312"/>
        </w:tabs>
        <w:spacing w:line="56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（一）完善创新创业体系</w:t>
      </w:r>
    </w:p>
    <w:p>
      <w:pPr>
        <w:tabs>
          <w:tab w:val="left" w:pos="312"/>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举办</w:t>
      </w:r>
      <w:r>
        <w:rPr>
          <w:rFonts w:hint="eastAsia" w:ascii="Times New Roman" w:hAnsi="Times New Roman" w:eastAsia="仿宋_GB2312" w:cs="Times New Roman"/>
          <w:color w:val="000000"/>
          <w:kern w:val="0"/>
          <w:sz w:val="32"/>
          <w:szCs w:val="32"/>
        </w:rPr>
        <w:t>2021</w:t>
      </w:r>
      <w:r>
        <w:rPr>
          <w:rFonts w:hint="eastAsia" w:ascii="仿宋_GB2312" w:hAnsi="仿宋_GB2312" w:eastAsia="仿宋_GB2312" w:cs="仿宋_GB2312"/>
          <w:color w:val="000000"/>
          <w:sz w:val="32"/>
          <w:szCs w:val="32"/>
        </w:rPr>
        <w:t>年“挑战杯”大学生课外学术科技作品竞赛，培植优秀作品参与省赛、国赛。支持各院（系）立足学科特点，培育和举办富有专业特色的创新创业及学科竞赛活动。</w:t>
      </w:r>
      <w:r>
        <w:rPr>
          <w:rFonts w:hint="eastAsia" w:ascii="仿宋_GB2312" w:hAnsi="仿宋_GB2312" w:eastAsia="仿宋_GB2312" w:cs="仿宋_GB2312"/>
          <w:sz w:val="32"/>
          <w:szCs w:val="32"/>
        </w:rPr>
        <w:t>加强“双创大课堂”打造力度，邀请知名校友、创业达人、业务骨干做客大讲堂，为双创工作提供智力支持。</w:t>
      </w:r>
    </w:p>
    <w:p>
      <w:pPr>
        <w:tabs>
          <w:tab w:val="left" w:pos="312"/>
        </w:tabs>
        <w:spacing w:line="56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（二）构建实践服务机制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鼓励社会实践团队围绕“省委重大决策、政府着力推进、群众普遍关心”的重点难点问题开展调研。加强青年志愿者队伍建设，定期组织学生开展志愿服务活动。提高服务成效，打造规范化</w:t>
      </w:r>
      <w:r>
        <w:rPr>
          <w:rFonts w:ascii="仿宋_GB2312" w:hAnsi="仿宋_GB2312" w:eastAsia="仿宋_GB2312" w:cs="仿宋_GB2312"/>
          <w:sz w:val="32"/>
          <w:szCs w:val="32"/>
        </w:rPr>
        <w:t>、科学化</w:t>
      </w:r>
      <w:r>
        <w:rPr>
          <w:rFonts w:hint="eastAsia" w:ascii="仿宋_GB2312" w:hAnsi="仿宋_GB2312" w:eastAsia="仿宋_GB2312" w:cs="仿宋_GB2312"/>
          <w:sz w:val="32"/>
          <w:szCs w:val="32"/>
        </w:rPr>
        <w:t>的志愿服务工作体系，推进志愿服务工作的项目化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品牌化和长效化建设。</w:t>
      </w:r>
    </w:p>
    <w:p>
      <w:pPr>
        <w:tabs>
          <w:tab w:val="left" w:pos="312"/>
        </w:tabs>
        <w:spacing w:line="560" w:lineRule="exact"/>
        <w:ind w:firstLine="640" w:firstLineChars="20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（三）深化实施“二课”制度</w:t>
      </w:r>
    </w:p>
    <w:p>
      <w:pPr>
        <w:tabs>
          <w:tab w:val="left" w:pos="615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推进“第二课堂成绩单”相关工作，引导各团总支（团委）丰富项目供给、活动供给、内容供给，分模块打造饱含时代特征、体现专业内涵、充满向上动能的“第二课堂”活动，形成“一院一品”文化品牌，最大限度满足学生“第二课堂”发展需求，最大程度彰显“第二课堂”育人成效。</w:t>
      </w:r>
    </w:p>
    <w:p>
      <w:pPr>
        <w:tabs>
          <w:tab w:val="left" w:pos="312"/>
        </w:tabs>
        <w:spacing w:line="56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三、以“青春关爱”工程积聚力量，服务新需求</w:t>
      </w:r>
    </w:p>
    <w:p>
      <w:pPr>
        <w:spacing w:line="56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（一）扎实建设“希望小屋”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实施“三全”工作体系，</w:t>
      </w:r>
      <w:r>
        <w:rPr>
          <w:rFonts w:hint="eastAsia" w:ascii="仿宋_GB2312" w:eastAsia="仿宋_GB2312"/>
          <w:sz w:val="32"/>
          <w:szCs w:val="32"/>
        </w:rPr>
        <w:t>继续与团省委、团市委积极对接、强化合作、建设小屋，依托志愿服务、校地共建、社会实践等品牌活动，切实将共青团的温暖与帮扶传递给受助儿童及家庭，助力实现从“小屋焕新”到“精神焕新”转变。</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（二）推动落实“青鸟计划”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从讲政治的高度认识就业工作，为大局服务、为党政分忧、为青年谋划，</w:t>
      </w:r>
      <w:r>
        <w:rPr>
          <w:rFonts w:hint="eastAsia" w:ascii="仿宋_GB2312" w:eastAsia="仿宋_GB2312"/>
          <w:sz w:val="32"/>
          <w:szCs w:val="32"/>
        </w:rPr>
        <w:t>鼓励青年学生依托“青鸟”平台寻找实习和就业机会。</w:t>
      </w:r>
      <w:r>
        <w:rPr>
          <w:rFonts w:hint="eastAsia" w:ascii="仿宋_GB2312" w:hAnsi="仿宋_GB2312" w:eastAsia="仿宋_GB2312" w:cs="仿宋_GB2312"/>
          <w:sz w:val="32"/>
          <w:szCs w:val="32"/>
        </w:rPr>
        <w:t>建设校内“青鸟驿站”，发挥服务山东籍学子、宣传推介山东方面的“微枢纽”作用。</w:t>
      </w:r>
    </w:p>
    <w:p>
      <w:pPr>
        <w:spacing w:line="56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（三）维护学生合法权益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引导团员青年落实疫情防控相关要求。发挥学生代表大会、学生组织在校园治理中的重要作用，收集涉及广大同学切身利益和普遍诉求的问题，及时跟进推动问题解决。探索“</w:t>
      </w:r>
      <w:r>
        <w:rPr>
          <w:rFonts w:ascii="仿宋_GB2312" w:hAnsi="仿宋_GB2312" w:eastAsia="仿宋_GB2312" w:cs="仿宋_GB2312"/>
          <w:sz w:val="32"/>
          <w:szCs w:val="32"/>
        </w:rPr>
        <w:t>E梦园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和志愿服务深度结合，打造</w:t>
      </w:r>
      <w:r>
        <w:rPr>
          <w:rFonts w:hint="eastAsia" w:ascii="仿宋_GB2312" w:hAnsi="仿宋_GB2312" w:eastAsia="仿宋_GB2312" w:cs="仿宋_GB2312"/>
          <w:sz w:val="32"/>
          <w:szCs w:val="32"/>
        </w:rPr>
        <w:t>师生</w:t>
      </w:r>
      <w:r>
        <w:rPr>
          <w:rFonts w:ascii="仿宋_GB2312" w:hAnsi="仿宋_GB2312" w:eastAsia="仿宋_GB2312" w:cs="仿宋_GB2312"/>
          <w:sz w:val="32"/>
          <w:szCs w:val="32"/>
        </w:rPr>
        <w:t>校园</w:t>
      </w:r>
      <w:r>
        <w:rPr>
          <w:rFonts w:hint="eastAsia" w:ascii="仿宋_GB2312" w:hAnsi="仿宋_GB2312" w:eastAsia="仿宋_GB2312" w:cs="仿宋_GB2312"/>
          <w:sz w:val="32"/>
          <w:szCs w:val="32"/>
        </w:rPr>
        <w:t>共建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共治、共享</w:t>
      </w:r>
      <w:r>
        <w:rPr>
          <w:rFonts w:ascii="仿宋_GB2312" w:hAnsi="仿宋_GB2312" w:eastAsia="仿宋_GB2312" w:cs="仿宋_GB2312"/>
          <w:sz w:val="32"/>
          <w:szCs w:val="32"/>
        </w:rPr>
        <w:t>的校园治理新生态。</w:t>
      </w:r>
    </w:p>
    <w:p>
      <w:pPr>
        <w:widowControl/>
        <w:spacing w:line="56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四、以“青春同行”工程夯实基础，回应新期待</w:t>
      </w:r>
    </w:p>
    <w:p>
      <w:pPr>
        <w:spacing w:line="56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（一）助推共青团联盟作用发挥</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作为全国医药类高校共青团工作联盟理事长单位、秘书长单位，</w:t>
      </w:r>
      <w:r>
        <w:rPr>
          <w:rFonts w:hint="eastAsia" w:ascii="仿宋_GB2312" w:hAnsi="仿宋_GB2312" w:eastAsia="仿宋_GB2312" w:cs="仿宋_GB2312"/>
          <w:kern w:val="0"/>
          <w:sz w:val="32"/>
          <w:szCs w:val="32"/>
        </w:rPr>
        <w:t>探索并推广医药类高校青年马克思主义者培养模式。开展以提升学生创新意识和创新能力为核心的创新创业教育工作。申报全国大学生暑期社会实践专项，构建医药类高校实践育人体系。</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（二）深化团学组织发展格局</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筹备召开学校第九次学代会和第三次研代会，指导二级学院召开学代会。</w:t>
      </w:r>
      <w:r>
        <w:rPr>
          <w:rFonts w:hint="eastAsia" w:ascii="仿宋_GB2312" w:hAnsi="仿宋_GB2312" w:eastAsia="仿宋_GB2312" w:cs="仿宋_GB2312"/>
          <w:sz w:val="32"/>
          <w:szCs w:val="32"/>
        </w:rPr>
        <w:t>加强对学生会、研究生会的指导，支持学生会、研究生会依章程开展工作，加强对学生社团的管理、引导、服务和联系，构建“多种模式、多重覆盖”的团建创新机制。</w:t>
      </w:r>
    </w:p>
    <w:p>
      <w:pPr>
        <w:spacing w:line="56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（三）优化学生会组织体系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切实建立“学校、院（系）、班级”三级联动的工作格局。明确校级组织对院级组织、院级组织对班委会的指导职责，重点从制度设计、资源整合、活动开展等方面，加强校级学生会组织对院（系）学生会组织的指导、联系和帮助。</w:t>
      </w:r>
    </w:p>
    <w:p>
      <w:pPr>
        <w:widowControl/>
        <w:spacing w:line="56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五、以“青春攀登”工程从严治团，展现新气象</w:t>
      </w:r>
    </w:p>
    <w:p>
      <w:pPr>
        <w:spacing w:line="56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w:t>
      </w:r>
      <w:r>
        <w:rPr>
          <w:rFonts w:ascii="楷体_GB2312" w:hAnsi="仿宋_GB2312" w:eastAsia="楷体_GB2312" w:cs="仿宋_GB2312"/>
          <w:sz w:val="32"/>
          <w:szCs w:val="32"/>
        </w:rPr>
        <w:t>提升团组织政治水平</w:t>
      </w:r>
    </w:p>
    <w:p>
      <w:pPr>
        <w:widowControl/>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凸显共青团工作的政治价值</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坚决反对形式主义、事务主义，切实防止为热闹而热闹、为服务而服务。要提高政治敏锐性和政治鉴别力，自觉抵制宗派主义、圈子文化等不良政治文化腐蚀，高扬理想主义，树立清风正气。</w:t>
      </w:r>
    </w:p>
    <w:p>
      <w:pPr>
        <w:spacing w:line="56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（二）加强团干部培养力度</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持续深入开展团干部健康成长教育，强化作风建设。推荐团干部借调挂职锻炼、参加校际学习交流、组织校内业务培训等，提高团干部驾驭本岗位工作的能力和水平。设立共青团研究课题专项，鼓励团干部加强理论研究和实践探索。</w:t>
      </w:r>
    </w:p>
    <w:p>
      <w:pPr>
        <w:spacing w:line="56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（三）</w:t>
      </w:r>
      <w:r>
        <w:rPr>
          <w:rFonts w:ascii="楷体_GB2312" w:hAnsi="仿宋_GB2312" w:eastAsia="楷体_GB2312" w:cs="仿宋_GB2312"/>
          <w:sz w:val="32"/>
          <w:szCs w:val="32"/>
        </w:rPr>
        <w:t>抓好团员队伍建设</w:t>
      </w:r>
    </w:p>
    <w:p>
      <w:pPr>
        <w:widowControl/>
        <w:spacing w:line="560" w:lineRule="exact"/>
        <w:ind w:firstLine="640" w:firstLineChars="200"/>
      </w:pPr>
      <w:r>
        <w:rPr>
          <w:rFonts w:hint="eastAsia" w:ascii="仿宋_GB2312" w:hAnsi="宋体" w:eastAsia="仿宋_GB2312" w:cs="仿宋_GB2312"/>
          <w:sz w:val="32"/>
          <w:szCs w:val="32"/>
        </w:rPr>
        <w:t>始终把政治标准作为团员发展的首要标准，严把团员入口关，强化团员管理关，优化团员推荐关，畅通团员出口关，</w:t>
      </w:r>
      <w:r>
        <w:rPr>
          <w:rFonts w:ascii="仿宋_GB2312" w:hAnsi="仿宋_GB2312" w:eastAsia="仿宋_GB2312" w:cs="仿宋_GB2312"/>
          <w:kern w:val="0"/>
          <w:sz w:val="32"/>
          <w:szCs w:val="32"/>
        </w:rPr>
        <w:t>提升团员发展</w:t>
      </w:r>
      <w:r>
        <w:rPr>
          <w:rFonts w:hint="eastAsia" w:ascii="仿宋_GB2312" w:hAnsi="仿宋_GB2312" w:eastAsia="仿宋_GB2312" w:cs="仿宋_GB2312"/>
          <w:kern w:val="0"/>
          <w:sz w:val="32"/>
          <w:szCs w:val="32"/>
        </w:rPr>
        <w:t>和教育管理</w:t>
      </w:r>
      <w:r>
        <w:rPr>
          <w:rFonts w:ascii="仿宋_GB2312" w:hAnsi="仿宋_GB2312" w:eastAsia="仿宋_GB2312" w:cs="仿宋_GB2312"/>
          <w:kern w:val="0"/>
          <w:sz w:val="32"/>
          <w:szCs w:val="32"/>
        </w:rPr>
        <w:t>质量</w:t>
      </w:r>
      <w:r>
        <w:rPr>
          <w:rFonts w:hint="eastAsia" w:ascii="仿宋_GB2312" w:hAnsi="宋体" w:eastAsia="仿宋_GB2312" w:cs="仿宋_GB2312"/>
          <w:sz w:val="32"/>
          <w:szCs w:val="32"/>
        </w:rPr>
        <w:t>。</w:t>
      </w:r>
      <w:r>
        <w:rPr>
          <w:rFonts w:ascii="仿宋_GB2312" w:hAnsi="仿宋_GB2312" w:eastAsia="仿宋_GB2312" w:cs="仿宋_GB2312"/>
          <w:kern w:val="0"/>
          <w:sz w:val="32"/>
          <w:szCs w:val="32"/>
        </w:rPr>
        <w:t>认真落实“推荐优秀团员作党的发展对象”制度</w:t>
      </w:r>
      <w:r>
        <w:rPr>
          <w:rFonts w:hint="eastAsia" w:ascii="仿宋_GB2312" w:hAnsi="仿宋_GB2312" w:eastAsia="仿宋_GB2312" w:cs="仿宋_GB2312"/>
          <w:kern w:val="0"/>
          <w:sz w:val="32"/>
          <w:szCs w:val="32"/>
        </w:rPr>
        <w:t>，</w:t>
      </w:r>
      <w:r>
        <w:rPr>
          <w:rFonts w:hint="eastAsia" w:ascii="仿宋_GB2312" w:hAnsi="宋体" w:eastAsia="仿宋_GB2312" w:cs="仿宋_GB2312"/>
          <w:sz w:val="32"/>
          <w:szCs w:val="32"/>
        </w:rPr>
        <w:t>不断完善推优入党、推干荐才工作机制。</w:t>
      </w:r>
    </w:p>
    <w:sectPr>
      <w:footerReference r:id="rId5" w:type="first"/>
      <w:footerReference r:id="rId3" w:type="default"/>
      <w:footerReference r:id="rId4" w:type="even"/>
      <w:pgSz w:w="11850" w:h="16783"/>
      <w:pgMar w:top="1418" w:right="1474" w:bottom="1418" w:left="1588" w:header="851" w:footer="85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D24FC"/>
    <w:rsid w:val="358D24FC"/>
    <w:rsid w:val="49877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sz w:val="18"/>
    </w:rPr>
  </w:style>
  <w:style w:type="character" w:styleId="6">
    <w:name w:val="page number"/>
    <w:basedOn w:val="5"/>
    <w:qFormat/>
    <w:uiPriority w:val="0"/>
  </w:style>
  <w:style w:type="paragraph" w:customStyle="1" w:styleId="7">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2021-03-12T02:32:00Z</dcterms:created>
  <dc:creator>lenovo</dc:creator>
  <cp:lastModifiedBy>lenovo</cp:lastModifiedBy>
  <dcterms:modified xsi:type="dcterms:W3CDTF">2021-03-12T02:42:31Z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